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778" w:rsidRPr="005A2EBB" w:rsidRDefault="00680778" w:rsidP="00680778">
      <w:pPr>
        <w:jc w:val="center"/>
        <w:rPr>
          <w:b/>
          <w:lang w:val="en-US"/>
        </w:rPr>
      </w:pPr>
      <w:r w:rsidRPr="005A2EBB">
        <w:rPr>
          <w:b/>
          <w:lang w:val="en-US"/>
        </w:rPr>
        <w:t>Check</w:t>
      </w:r>
      <w:r>
        <w:rPr>
          <w:b/>
          <w:lang w:val="en-US"/>
        </w:rPr>
        <w:t>lists for Safety Manager (SM</w:t>
      </w:r>
      <w:r w:rsidRPr="005A2EBB">
        <w:rPr>
          <w:b/>
          <w:lang w:val="en-US"/>
        </w:rPr>
        <w:t>)</w:t>
      </w:r>
    </w:p>
    <w:p w:rsidR="00680778" w:rsidRPr="005A2EBB" w:rsidRDefault="00680778" w:rsidP="00680778">
      <w:pPr>
        <w:rPr>
          <w:b/>
          <w:lang w:val="en-US"/>
        </w:rPr>
      </w:pPr>
      <w:r>
        <w:rPr>
          <w:b/>
          <w:lang w:val="en-US"/>
        </w:rPr>
        <w:t xml:space="preserve">Frequency: </w:t>
      </w:r>
      <w:r w:rsidRPr="005A2EBB">
        <w:rPr>
          <w:b/>
          <w:lang w:val="en-US"/>
        </w:rPr>
        <w:t>Annual</w:t>
      </w:r>
    </w:p>
    <w:tbl>
      <w:tblPr>
        <w:tblStyle w:val="TableGrid"/>
        <w:tblW w:w="0" w:type="auto"/>
        <w:tblLook w:val="04A0" w:firstRow="1" w:lastRow="0" w:firstColumn="1" w:lastColumn="0" w:noHBand="0" w:noVBand="1"/>
      </w:tblPr>
      <w:tblGrid>
        <w:gridCol w:w="3259"/>
        <w:gridCol w:w="3259"/>
        <w:gridCol w:w="3260"/>
      </w:tblGrid>
      <w:tr w:rsidR="00680778" w:rsidRPr="00017CCA" w:rsidTr="00A939E8">
        <w:tc>
          <w:tcPr>
            <w:tcW w:w="3259" w:type="dxa"/>
          </w:tcPr>
          <w:p w:rsidR="00680778" w:rsidRPr="00017CCA" w:rsidRDefault="00680778" w:rsidP="00A939E8">
            <w:pPr>
              <w:rPr>
                <w:b/>
                <w:lang w:val="en-US"/>
              </w:rPr>
            </w:pPr>
            <w:r w:rsidRPr="00017CCA">
              <w:rPr>
                <w:b/>
                <w:lang w:val="en-US"/>
              </w:rPr>
              <w:t>Action</w:t>
            </w:r>
          </w:p>
        </w:tc>
        <w:tc>
          <w:tcPr>
            <w:tcW w:w="3259" w:type="dxa"/>
          </w:tcPr>
          <w:p w:rsidR="00680778" w:rsidRPr="005A2EBB" w:rsidRDefault="00680778" w:rsidP="00A939E8">
            <w:pPr>
              <w:rPr>
                <w:b/>
                <w:lang w:val="en-US"/>
              </w:rPr>
            </w:pPr>
            <w:r>
              <w:rPr>
                <w:b/>
                <w:lang w:val="en-US"/>
              </w:rPr>
              <w:t>Date performed</w:t>
            </w:r>
          </w:p>
        </w:tc>
        <w:tc>
          <w:tcPr>
            <w:tcW w:w="3260" w:type="dxa"/>
          </w:tcPr>
          <w:p w:rsidR="00680778" w:rsidRPr="005A2EBB" w:rsidRDefault="00680778" w:rsidP="00A939E8">
            <w:pPr>
              <w:rPr>
                <w:b/>
                <w:lang w:val="en-US"/>
              </w:rPr>
            </w:pPr>
            <w:r>
              <w:rPr>
                <w:b/>
                <w:lang w:val="en-US"/>
              </w:rPr>
              <w:t>Remark</w:t>
            </w:r>
          </w:p>
        </w:tc>
      </w:tr>
      <w:tr w:rsidR="00680778" w:rsidRPr="005A2EBB" w:rsidTr="00A939E8">
        <w:tc>
          <w:tcPr>
            <w:tcW w:w="3259" w:type="dxa"/>
          </w:tcPr>
          <w:p w:rsidR="00680778" w:rsidRPr="005A2EBB" w:rsidRDefault="00680778" w:rsidP="00A939E8">
            <w:pPr>
              <w:rPr>
                <w:lang w:val="en-US"/>
              </w:rPr>
            </w:pPr>
            <w:r>
              <w:rPr>
                <w:lang w:val="en-US"/>
              </w:rPr>
              <w:t>Safety meeting &amp; review</w:t>
            </w: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Pr="005A2EBB" w:rsidRDefault="00680778" w:rsidP="00A939E8">
            <w:pPr>
              <w:rPr>
                <w:lang w:val="en-US"/>
              </w:rPr>
            </w:pPr>
            <w:r>
              <w:rPr>
                <w:lang w:val="en-US"/>
              </w:rPr>
              <w:t>Rules and regulations review meeting</w:t>
            </w: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Default="00680778" w:rsidP="00A939E8">
            <w:pPr>
              <w:rPr>
                <w:lang w:val="en-US"/>
              </w:rPr>
            </w:pPr>
            <w:r>
              <w:rPr>
                <w:lang w:val="en-US"/>
              </w:rPr>
              <w:t>Review according to change management process</w:t>
            </w: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Default="00680778" w:rsidP="00A939E8">
            <w:pPr>
              <w:rPr>
                <w:lang w:val="en-US"/>
              </w:rPr>
            </w:pPr>
            <w:r w:rsidRPr="00007060">
              <w:rPr>
                <w:lang w:val="en-US"/>
              </w:rPr>
              <w:t>Rev</w:t>
            </w:r>
            <w:r>
              <w:rPr>
                <w:lang w:val="en-US"/>
              </w:rPr>
              <w:t>iew of OPS manual, including data on the Quick Reference sheet</w:t>
            </w: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Pr="00007060" w:rsidRDefault="00680778" w:rsidP="00A939E8">
            <w:pPr>
              <w:rPr>
                <w:lang w:val="en-US"/>
              </w:rPr>
            </w:pP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Pr="00007060" w:rsidRDefault="00680778" w:rsidP="00A939E8">
            <w:pPr>
              <w:rPr>
                <w:lang w:val="en-US"/>
              </w:rPr>
            </w:pPr>
            <w:bookmarkStart w:id="0" w:name="_GoBack"/>
            <w:bookmarkEnd w:id="0"/>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r w:rsidR="00680778" w:rsidRPr="009F35E9" w:rsidTr="00A939E8">
        <w:tc>
          <w:tcPr>
            <w:tcW w:w="3259" w:type="dxa"/>
          </w:tcPr>
          <w:p w:rsidR="00680778" w:rsidRPr="00007060" w:rsidRDefault="00680778" w:rsidP="00A939E8">
            <w:pPr>
              <w:rPr>
                <w:lang w:val="en-US"/>
              </w:rPr>
            </w:pPr>
          </w:p>
        </w:tc>
        <w:tc>
          <w:tcPr>
            <w:tcW w:w="3259" w:type="dxa"/>
          </w:tcPr>
          <w:p w:rsidR="00680778" w:rsidRPr="005A2EBB" w:rsidRDefault="00680778" w:rsidP="00A939E8">
            <w:pPr>
              <w:rPr>
                <w:b/>
                <w:lang w:val="en-US"/>
              </w:rPr>
            </w:pPr>
          </w:p>
        </w:tc>
        <w:tc>
          <w:tcPr>
            <w:tcW w:w="3260" w:type="dxa"/>
          </w:tcPr>
          <w:p w:rsidR="00680778" w:rsidRPr="005A2EBB" w:rsidRDefault="00680778" w:rsidP="00A939E8">
            <w:pPr>
              <w:rPr>
                <w:b/>
                <w:lang w:val="en-US"/>
              </w:rPr>
            </w:pPr>
          </w:p>
        </w:tc>
      </w:tr>
    </w:tbl>
    <w:p w:rsidR="004B405C" w:rsidRDefault="004B405C">
      <w:pPr>
        <w:rPr>
          <w:lang w:val="en-US"/>
        </w:rPr>
      </w:pPr>
    </w:p>
    <w:p w:rsidR="009F35E9" w:rsidRPr="00FF52B6" w:rsidRDefault="009F35E9" w:rsidP="009F35E9">
      <w:pPr>
        <w:pStyle w:val="Heading2"/>
        <w:rPr>
          <w:lang w:val="en-US"/>
        </w:rPr>
      </w:pPr>
      <w:r>
        <w:rPr>
          <w:lang w:val="en-US"/>
        </w:rPr>
        <w:t>Safety Risk Assessment and Mitigation Process</w:t>
      </w:r>
    </w:p>
    <w:p w:rsidR="009F35E9" w:rsidRDefault="009F35E9" w:rsidP="009F35E9">
      <w:pPr>
        <w:rPr>
          <w:lang w:val="en-US"/>
        </w:rPr>
      </w:pPr>
      <w:r>
        <w:rPr>
          <w:lang w:val="en-US"/>
        </w:rPr>
        <w:t>When a Safety Form is received the Safety Manager will assess it using the following procedure:</w:t>
      </w:r>
    </w:p>
    <w:p w:rsidR="009F35E9" w:rsidRDefault="009F35E9" w:rsidP="009F35E9">
      <w:pPr>
        <w:rPr>
          <w:lang w:val="en-US"/>
        </w:rPr>
      </w:pPr>
      <w:r>
        <w:rPr>
          <w:lang w:val="en-US"/>
        </w:rPr>
        <w:t>Evaluate the risk severity and probability. The severity is classified as follows:</w:t>
      </w:r>
    </w:p>
    <w:tbl>
      <w:tblPr>
        <w:tblStyle w:val="TableGrid"/>
        <w:tblW w:w="0" w:type="auto"/>
        <w:jc w:val="center"/>
        <w:tblLook w:val="04A0" w:firstRow="1" w:lastRow="0" w:firstColumn="1" w:lastColumn="0" w:noHBand="0" w:noVBand="1"/>
      </w:tblPr>
      <w:tblGrid>
        <w:gridCol w:w="2832"/>
        <w:gridCol w:w="3730"/>
        <w:gridCol w:w="1934"/>
      </w:tblGrid>
      <w:tr w:rsidR="009F35E9" w:rsidRPr="00856D79" w:rsidTr="00A939E8">
        <w:trPr>
          <w:trHeight w:val="255"/>
          <w:jc w:val="center"/>
        </w:trPr>
        <w:tc>
          <w:tcPr>
            <w:tcW w:w="2832" w:type="dxa"/>
          </w:tcPr>
          <w:p w:rsidR="009F35E9" w:rsidRPr="00FF69C2" w:rsidRDefault="009F35E9" w:rsidP="00A939E8">
            <w:pPr>
              <w:jc w:val="center"/>
              <w:rPr>
                <w:b/>
              </w:rPr>
            </w:pPr>
            <w:r w:rsidRPr="00FF69C2">
              <w:rPr>
                <w:b/>
              </w:rPr>
              <w:t>Severity</w:t>
            </w:r>
          </w:p>
        </w:tc>
        <w:tc>
          <w:tcPr>
            <w:tcW w:w="3730" w:type="dxa"/>
          </w:tcPr>
          <w:p w:rsidR="009F35E9" w:rsidRPr="00FF69C2" w:rsidRDefault="009F35E9" w:rsidP="00A939E8">
            <w:pPr>
              <w:jc w:val="center"/>
              <w:rPr>
                <w:b/>
              </w:rPr>
            </w:pPr>
            <w:r w:rsidRPr="00FF69C2">
              <w:rPr>
                <w:b/>
              </w:rPr>
              <w:t>Meaning</w:t>
            </w:r>
          </w:p>
        </w:tc>
        <w:tc>
          <w:tcPr>
            <w:tcW w:w="1934" w:type="dxa"/>
          </w:tcPr>
          <w:p w:rsidR="009F35E9" w:rsidRPr="00FF69C2" w:rsidRDefault="009F35E9" w:rsidP="00A939E8">
            <w:pPr>
              <w:jc w:val="center"/>
              <w:rPr>
                <w:b/>
              </w:rPr>
            </w:pPr>
            <w:r w:rsidRPr="00FF69C2">
              <w:rPr>
                <w:b/>
              </w:rPr>
              <w:t>Value</w:t>
            </w:r>
          </w:p>
        </w:tc>
      </w:tr>
      <w:tr w:rsidR="009F35E9" w:rsidRPr="00856D79" w:rsidTr="00A939E8">
        <w:trPr>
          <w:trHeight w:val="739"/>
          <w:jc w:val="center"/>
        </w:trPr>
        <w:tc>
          <w:tcPr>
            <w:tcW w:w="2832" w:type="dxa"/>
          </w:tcPr>
          <w:p w:rsidR="009F35E9" w:rsidRPr="00FF69C2" w:rsidRDefault="009F35E9" w:rsidP="00A939E8">
            <w:pPr>
              <w:jc w:val="center"/>
              <w:rPr>
                <w:b/>
              </w:rPr>
            </w:pPr>
          </w:p>
          <w:p w:rsidR="009F35E9" w:rsidRPr="00FF69C2" w:rsidRDefault="009F35E9" w:rsidP="00A939E8">
            <w:pPr>
              <w:jc w:val="center"/>
              <w:rPr>
                <w:b/>
              </w:rPr>
            </w:pPr>
            <w:r w:rsidRPr="00FF69C2">
              <w:rPr>
                <w:b/>
              </w:rPr>
              <w:t>Catastrophic</w:t>
            </w:r>
          </w:p>
        </w:tc>
        <w:tc>
          <w:tcPr>
            <w:tcW w:w="3730" w:type="dxa"/>
          </w:tcPr>
          <w:p w:rsidR="009F35E9" w:rsidRPr="00856D79" w:rsidRDefault="009F35E9" w:rsidP="00A939E8">
            <w:pPr>
              <w:jc w:val="center"/>
            </w:pPr>
          </w:p>
          <w:p w:rsidR="009F35E9" w:rsidRPr="00856D79" w:rsidRDefault="009F35E9" w:rsidP="009F35E9">
            <w:pPr>
              <w:pStyle w:val="ListParagraph"/>
              <w:numPr>
                <w:ilvl w:val="0"/>
                <w:numId w:val="1"/>
              </w:numPr>
            </w:pPr>
            <w:r w:rsidRPr="00856D79">
              <w:t>Equipment destroyed</w:t>
            </w:r>
          </w:p>
          <w:p w:rsidR="009F35E9" w:rsidRPr="00856D79" w:rsidRDefault="009F35E9" w:rsidP="009F35E9">
            <w:pPr>
              <w:pStyle w:val="ListParagraph"/>
              <w:numPr>
                <w:ilvl w:val="0"/>
                <w:numId w:val="1"/>
              </w:numPr>
            </w:pPr>
            <w:r w:rsidRPr="00856D79">
              <w:t>Multiple deaths</w:t>
            </w:r>
          </w:p>
          <w:p w:rsidR="009F35E9" w:rsidRPr="00856D79" w:rsidRDefault="009F35E9" w:rsidP="00A939E8">
            <w:pPr>
              <w:jc w:val="center"/>
            </w:pPr>
          </w:p>
        </w:tc>
        <w:tc>
          <w:tcPr>
            <w:tcW w:w="1934" w:type="dxa"/>
          </w:tcPr>
          <w:p w:rsidR="009F35E9" w:rsidRPr="00856D79" w:rsidRDefault="009F35E9" w:rsidP="00A939E8">
            <w:pPr>
              <w:jc w:val="center"/>
            </w:pPr>
          </w:p>
          <w:p w:rsidR="009F35E9" w:rsidRPr="00856D79" w:rsidRDefault="009F35E9" w:rsidP="00A939E8">
            <w:pPr>
              <w:jc w:val="center"/>
            </w:pPr>
            <w:r w:rsidRPr="00856D79">
              <w:t>A</w:t>
            </w:r>
          </w:p>
        </w:tc>
      </w:tr>
      <w:tr w:rsidR="009F35E9" w:rsidRPr="00856D79" w:rsidTr="00A939E8">
        <w:trPr>
          <w:trHeight w:val="1682"/>
          <w:jc w:val="center"/>
        </w:trPr>
        <w:tc>
          <w:tcPr>
            <w:tcW w:w="2832" w:type="dxa"/>
          </w:tcPr>
          <w:p w:rsidR="009F35E9" w:rsidRPr="00FF69C2" w:rsidRDefault="009F35E9" w:rsidP="00A939E8">
            <w:pPr>
              <w:jc w:val="center"/>
              <w:rPr>
                <w:b/>
              </w:rPr>
            </w:pPr>
          </w:p>
          <w:p w:rsidR="009F35E9" w:rsidRPr="00FF69C2" w:rsidRDefault="009F35E9" w:rsidP="00A939E8">
            <w:pPr>
              <w:jc w:val="center"/>
              <w:rPr>
                <w:b/>
              </w:rPr>
            </w:pPr>
            <w:r w:rsidRPr="00FF69C2">
              <w:rPr>
                <w:b/>
              </w:rPr>
              <w:t>Hazardous</w:t>
            </w:r>
          </w:p>
        </w:tc>
        <w:tc>
          <w:tcPr>
            <w:tcW w:w="3730" w:type="dxa"/>
          </w:tcPr>
          <w:p w:rsidR="009F35E9" w:rsidRPr="00856D79" w:rsidRDefault="009F35E9" w:rsidP="00A939E8">
            <w:pPr>
              <w:jc w:val="center"/>
            </w:pPr>
          </w:p>
          <w:p w:rsidR="009F35E9" w:rsidRPr="00322D12" w:rsidRDefault="009F35E9" w:rsidP="009F35E9">
            <w:pPr>
              <w:pStyle w:val="ListParagraph"/>
              <w:numPr>
                <w:ilvl w:val="0"/>
                <w:numId w:val="2"/>
              </w:numPr>
              <w:rPr>
                <w:lang w:val="en-US"/>
              </w:rPr>
            </w:pPr>
            <w:r w:rsidRPr="00322D12">
              <w:rPr>
                <w:lang w:val="en-US"/>
              </w:rPr>
              <w:t>A large reduction in safety margins, physical distress or a workload such that operators cannot be relied upon to perform their tasks accurately or completely.</w:t>
            </w:r>
          </w:p>
          <w:p w:rsidR="009F35E9" w:rsidRPr="00856D79" w:rsidRDefault="009F35E9" w:rsidP="009F35E9">
            <w:pPr>
              <w:pStyle w:val="ListParagraph"/>
              <w:numPr>
                <w:ilvl w:val="0"/>
                <w:numId w:val="2"/>
              </w:numPr>
            </w:pPr>
            <w:r w:rsidRPr="00856D79">
              <w:t>Serious injury</w:t>
            </w:r>
          </w:p>
          <w:p w:rsidR="009F35E9" w:rsidRPr="00856D79" w:rsidRDefault="009F35E9" w:rsidP="009F35E9">
            <w:pPr>
              <w:pStyle w:val="ListParagraph"/>
              <w:numPr>
                <w:ilvl w:val="0"/>
                <w:numId w:val="2"/>
              </w:numPr>
            </w:pPr>
            <w:r w:rsidRPr="00856D79">
              <w:t>Major equipment damage</w:t>
            </w:r>
          </w:p>
          <w:p w:rsidR="009F35E9" w:rsidRPr="00856D79" w:rsidRDefault="009F35E9" w:rsidP="00A939E8">
            <w:pPr>
              <w:jc w:val="center"/>
            </w:pPr>
          </w:p>
        </w:tc>
        <w:tc>
          <w:tcPr>
            <w:tcW w:w="1934" w:type="dxa"/>
          </w:tcPr>
          <w:p w:rsidR="009F35E9" w:rsidRPr="00856D79" w:rsidRDefault="009F35E9" w:rsidP="00A939E8">
            <w:pPr>
              <w:jc w:val="center"/>
            </w:pPr>
          </w:p>
          <w:p w:rsidR="009F35E9" w:rsidRPr="00856D79" w:rsidRDefault="009F35E9" w:rsidP="00A939E8">
            <w:pPr>
              <w:jc w:val="center"/>
            </w:pPr>
            <w:r w:rsidRPr="00856D79">
              <w:t>B</w:t>
            </w:r>
          </w:p>
        </w:tc>
      </w:tr>
      <w:tr w:rsidR="009F35E9" w:rsidRPr="00856D79" w:rsidTr="00A939E8">
        <w:trPr>
          <w:trHeight w:val="1493"/>
          <w:jc w:val="center"/>
        </w:trPr>
        <w:tc>
          <w:tcPr>
            <w:tcW w:w="2832" w:type="dxa"/>
          </w:tcPr>
          <w:p w:rsidR="009F35E9" w:rsidRPr="00FF69C2" w:rsidRDefault="009F35E9" w:rsidP="00A939E8">
            <w:pPr>
              <w:jc w:val="center"/>
              <w:rPr>
                <w:b/>
              </w:rPr>
            </w:pPr>
          </w:p>
          <w:p w:rsidR="009F35E9" w:rsidRPr="00FF69C2" w:rsidRDefault="009F35E9" w:rsidP="00A939E8">
            <w:pPr>
              <w:jc w:val="center"/>
              <w:rPr>
                <w:b/>
              </w:rPr>
            </w:pPr>
            <w:r w:rsidRPr="00FF69C2">
              <w:rPr>
                <w:b/>
              </w:rPr>
              <w:t>Major</w:t>
            </w:r>
          </w:p>
        </w:tc>
        <w:tc>
          <w:tcPr>
            <w:tcW w:w="3730" w:type="dxa"/>
          </w:tcPr>
          <w:p w:rsidR="009F35E9" w:rsidRPr="00856D79" w:rsidRDefault="009F35E9" w:rsidP="00A939E8">
            <w:pPr>
              <w:jc w:val="center"/>
            </w:pPr>
          </w:p>
          <w:p w:rsidR="009F35E9" w:rsidRPr="00322D12" w:rsidRDefault="009F35E9" w:rsidP="009F35E9">
            <w:pPr>
              <w:pStyle w:val="ListParagraph"/>
              <w:numPr>
                <w:ilvl w:val="0"/>
                <w:numId w:val="3"/>
              </w:numPr>
              <w:rPr>
                <w:lang w:val="en-US"/>
              </w:rPr>
            </w:pPr>
            <w:r w:rsidRPr="00322D12">
              <w:rPr>
                <w:lang w:val="en-US"/>
              </w:rPr>
              <w:t>A significant reduction in safety margins, a reduction in the ability of operators to cope with adverse operating conditions impairing their efficiency</w:t>
            </w:r>
          </w:p>
          <w:p w:rsidR="009F35E9" w:rsidRPr="00856D79" w:rsidRDefault="009F35E9" w:rsidP="009F35E9">
            <w:pPr>
              <w:pStyle w:val="ListParagraph"/>
              <w:numPr>
                <w:ilvl w:val="0"/>
                <w:numId w:val="3"/>
              </w:numPr>
            </w:pPr>
            <w:r w:rsidRPr="00856D79">
              <w:t>Serious incident</w:t>
            </w:r>
          </w:p>
          <w:p w:rsidR="009F35E9" w:rsidRPr="00856D79" w:rsidRDefault="009F35E9" w:rsidP="009F35E9">
            <w:pPr>
              <w:pStyle w:val="ListParagraph"/>
              <w:numPr>
                <w:ilvl w:val="0"/>
                <w:numId w:val="3"/>
              </w:numPr>
            </w:pPr>
            <w:r w:rsidRPr="00856D79">
              <w:t>Injury to persons</w:t>
            </w:r>
          </w:p>
          <w:p w:rsidR="009F35E9" w:rsidRPr="00856D79" w:rsidRDefault="009F35E9" w:rsidP="00A939E8">
            <w:pPr>
              <w:jc w:val="center"/>
            </w:pPr>
          </w:p>
        </w:tc>
        <w:tc>
          <w:tcPr>
            <w:tcW w:w="1934" w:type="dxa"/>
          </w:tcPr>
          <w:p w:rsidR="009F35E9" w:rsidRPr="00856D79" w:rsidRDefault="009F35E9" w:rsidP="00A939E8">
            <w:pPr>
              <w:jc w:val="center"/>
            </w:pPr>
          </w:p>
          <w:p w:rsidR="009F35E9" w:rsidRPr="00856D79" w:rsidRDefault="009F35E9" w:rsidP="00A939E8">
            <w:pPr>
              <w:jc w:val="center"/>
            </w:pPr>
            <w:r w:rsidRPr="00856D79">
              <w:t>C</w:t>
            </w:r>
          </w:p>
        </w:tc>
      </w:tr>
      <w:tr w:rsidR="009F35E9" w:rsidRPr="00856D79" w:rsidTr="00A939E8">
        <w:trPr>
          <w:trHeight w:val="1130"/>
          <w:jc w:val="center"/>
        </w:trPr>
        <w:tc>
          <w:tcPr>
            <w:tcW w:w="2832" w:type="dxa"/>
          </w:tcPr>
          <w:p w:rsidR="009F35E9" w:rsidRPr="00FF69C2" w:rsidRDefault="009F35E9" w:rsidP="00A939E8">
            <w:pPr>
              <w:jc w:val="center"/>
              <w:rPr>
                <w:b/>
              </w:rPr>
            </w:pPr>
          </w:p>
          <w:p w:rsidR="009F35E9" w:rsidRPr="00FF69C2" w:rsidRDefault="009F35E9" w:rsidP="00A939E8">
            <w:pPr>
              <w:jc w:val="center"/>
              <w:rPr>
                <w:b/>
              </w:rPr>
            </w:pPr>
            <w:r w:rsidRPr="00FF69C2">
              <w:rPr>
                <w:b/>
              </w:rPr>
              <w:t>Minor</w:t>
            </w:r>
          </w:p>
        </w:tc>
        <w:tc>
          <w:tcPr>
            <w:tcW w:w="3730" w:type="dxa"/>
          </w:tcPr>
          <w:p w:rsidR="009F35E9" w:rsidRPr="00856D79" w:rsidRDefault="009F35E9" w:rsidP="00A939E8">
            <w:pPr>
              <w:jc w:val="center"/>
            </w:pPr>
          </w:p>
          <w:p w:rsidR="009F35E9" w:rsidRPr="00856D79" w:rsidRDefault="009F35E9" w:rsidP="009F35E9">
            <w:pPr>
              <w:pStyle w:val="ListParagraph"/>
              <w:numPr>
                <w:ilvl w:val="0"/>
                <w:numId w:val="4"/>
              </w:numPr>
            </w:pPr>
            <w:r w:rsidRPr="00856D79">
              <w:t>Nuisance</w:t>
            </w:r>
          </w:p>
          <w:p w:rsidR="009F35E9" w:rsidRPr="00856D79" w:rsidRDefault="009F35E9" w:rsidP="009F35E9">
            <w:pPr>
              <w:pStyle w:val="ListParagraph"/>
              <w:numPr>
                <w:ilvl w:val="0"/>
                <w:numId w:val="4"/>
              </w:numPr>
            </w:pPr>
            <w:r w:rsidRPr="00856D79">
              <w:t>Operating limitations</w:t>
            </w:r>
          </w:p>
          <w:p w:rsidR="009F35E9" w:rsidRPr="00856D79" w:rsidRDefault="009F35E9" w:rsidP="009F35E9">
            <w:pPr>
              <w:pStyle w:val="ListParagraph"/>
              <w:numPr>
                <w:ilvl w:val="0"/>
                <w:numId w:val="4"/>
              </w:numPr>
            </w:pPr>
            <w:r w:rsidRPr="00856D79">
              <w:t>Use of emergency procedures</w:t>
            </w:r>
          </w:p>
          <w:p w:rsidR="009F35E9" w:rsidRPr="00856D79" w:rsidRDefault="009F35E9" w:rsidP="009F35E9">
            <w:pPr>
              <w:pStyle w:val="ListParagraph"/>
              <w:numPr>
                <w:ilvl w:val="0"/>
                <w:numId w:val="4"/>
              </w:numPr>
            </w:pPr>
            <w:r w:rsidRPr="00856D79">
              <w:t>Minor incident</w:t>
            </w:r>
          </w:p>
          <w:p w:rsidR="009F35E9" w:rsidRPr="00856D79" w:rsidRDefault="009F35E9" w:rsidP="00A939E8">
            <w:pPr>
              <w:jc w:val="center"/>
            </w:pPr>
          </w:p>
        </w:tc>
        <w:tc>
          <w:tcPr>
            <w:tcW w:w="1934" w:type="dxa"/>
          </w:tcPr>
          <w:p w:rsidR="009F35E9" w:rsidRPr="00856D79" w:rsidRDefault="009F35E9" w:rsidP="00A939E8">
            <w:pPr>
              <w:jc w:val="center"/>
            </w:pPr>
          </w:p>
          <w:p w:rsidR="009F35E9" w:rsidRPr="00856D79" w:rsidRDefault="009F35E9" w:rsidP="00A939E8">
            <w:pPr>
              <w:jc w:val="center"/>
            </w:pPr>
            <w:r w:rsidRPr="00856D79">
              <w:t>D</w:t>
            </w:r>
          </w:p>
        </w:tc>
      </w:tr>
      <w:tr w:rsidR="009F35E9" w:rsidRPr="00856D79" w:rsidTr="00A939E8">
        <w:trPr>
          <w:trHeight w:val="527"/>
          <w:jc w:val="center"/>
        </w:trPr>
        <w:tc>
          <w:tcPr>
            <w:tcW w:w="2832" w:type="dxa"/>
          </w:tcPr>
          <w:p w:rsidR="009F35E9" w:rsidRPr="00FF69C2" w:rsidRDefault="009F35E9" w:rsidP="00A939E8">
            <w:pPr>
              <w:jc w:val="center"/>
              <w:rPr>
                <w:b/>
              </w:rPr>
            </w:pPr>
          </w:p>
          <w:p w:rsidR="009F35E9" w:rsidRPr="00FF69C2" w:rsidRDefault="009F35E9" w:rsidP="00A939E8">
            <w:pPr>
              <w:jc w:val="center"/>
              <w:rPr>
                <w:b/>
              </w:rPr>
            </w:pPr>
            <w:r w:rsidRPr="00FF69C2">
              <w:rPr>
                <w:b/>
              </w:rPr>
              <w:t>Negligible</w:t>
            </w:r>
          </w:p>
        </w:tc>
        <w:tc>
          <w:tcPr>
            <w:tcW w:w="3730" w:type="dxa"/>
          </w:tcPr>
          <w:p w:rsidR="009F35E9" w:rsidRPr="00856D79" w:rsidRDefault="009F35E9" w:rsidP="00A939E8">
            <w:pPr>
              <w:jc w:val="center"/>
            </w:pPr>
          </w:p>
          <w:p w:rsidR="009F35E9" w:rsidRPr="00856D79" w:rsidRDefault="009F35E9" w:rsidP="009F35E9">
            <w:pPr>
              <w:pStyle w:val="ListParagraph"/>
              <w:numPr>
                <w:ilvl w:val="0"/>
                <w:numId w:val="5"/>
              </w:numPr>
            </w:pPr>
            <w:r w:rsidRPr="00856D79">
              <w:t>Few consequences</w:t>
            </w:r>
          </w:p>
          <w:p w:rsidR="009F35E9" w:rsidRPr="00856D79" w:rsidRDefault="009F35E9" w:rsidP="00A939E8">
            <w:pPr>
              <w:jc w:val="center"/>
            </w:pPr>
          </w:p>
        </w:tc>
        <w:tc>
          <w:tcPr>
            <w:tcW w:w="1934" w:type="dxa"/>
          </w:tcPr>
          <w:p w:rsidR="009F35E9" w:rsidRPr="00856D79" w:rsidRDefault="009F35E9" w:rsidP="00A939E8">
            <w:pPr>
              <w:jc w:val="center"/>
            </w:pPr>
          </w:p>
          <w:p w:rsidR="009F35E9" w:rsidRPr="00856D79" w:rsidRDefault="009F35E9" w:rsidP="00A939E8">
            <w:pPr>
              <w:jc w:val="center"/>
            </w:pPr>
            <w:r w:rsidRPr="00856D79">
              <w:t>E</w:t>
            </w:r>
          </w:p>
        </w:tc>
      </w:tr>
    </w:tbl>
    <w:p w:rsidR="009F35E9" w:rsidRDefault="009F35E9" w:rsidP="009F35E9">
      <w:pPr>
        <w:rPr>
          <w:lang w:val="en-US"/>
        </w:rPr>
      </w:pPr>
    </w:p>
    <w:p w:rsidR="009F35E9" w:rsidRDefault="009F35E9" w:rsidP="009F35E9">
      <w:pPr>
        <w:rPr>
          <w:lang w:val="en-US"/>
        </w:rPr>
      </w:pPr>
      <w:r>
        <w:rPr>
          <w:lang w:val="en-US"/>
        </w:rPr>
        <w:t>Based on the assessment the Safety manager should determine the associated position in the table below</w:t>
      </w:r>
    </w:p>
    <w:tbl>
      <w:tblPr>
        <w:tblStyle w:val="TableGrid"/>
        <w:tblW w:w="0" w:type="auto"/>
        <w:jc w:val="center"/>
        <w:shd w:val="clear" w:color="auto" w:fill="FFFFFF" w:themeFill="background1"/>
        <w:tblLook w:val="04A0" w:firstRow="1" w:lastRow="0" w:firstColumn="1" w:lastColumn="0" w:noHBand="0" w:noVBand="1"/>
      </w:tblPr>
      <w:tblGrid>
        <w:gridCol w:w="1278"/>
        <w:gridCol w:w="1369"/>
        <w:gridCol w:w="1180"/>
        <w:gridCol w:w="1156"/>
        <w:gridCol w:w="1156"/>
        <w:gridCol w:w="1157"/>
      </w:tblGrid>
      <w:tr w:rsidR="009F35E9" w:rsidRPr="00FB54DF" w:rsidTr="00A939E8">
        <w:trPr>
          <w:trHeight w:val="240"/>
          <w:jc w:val="center"/>
        </w:trPr>
        <w:tc>
          <w:tcPr>
            <w:tcW w:w="1252" w:type="dxa"/>
            <w:vMerge w:val="restart"/>
            <w:shd w:val="clear" w:color="auto" w:fill="FFFFFF" w:themeFill="background1"/>
          </w:tcPr>
          <w:p w:rsidR="009F35E9" w:rsidRPr="00856D79" w:rsidRDefault="009F35E9" w:rsidP="00A939E8">
            <w:pPr>
              <w:jc w:val="center"/>
              <w:rPr>
                <w:b/>
                <w:lang w:val="en-US"/>
              </w:rPr>
            </w:pPr>
          </w:p>
          <w:p w:rsidR="009F35E9" w:rsidRPr="00FB54DF" w:rsidRDefault="009F35E9" w:rsidP="00A939E8">
            <w:pPr>
              <w:jc w:val="center"/>
              <w:rPr>
                <w:b/>
              </w:rPr>
            </w:pPr>
            <w:r w:rsidRPr="00FB54DF">
              <w:rPr>
                <w:b/>
              </w:rPr>
              <w:t>Risk</w:t>
            </w:r>
          </w:p>
          <w:p w:rsidR="009F35E9" w:rsidRPr="00FB54DF" w:rsidRDefault="009F35E9" w:rsidP="00A939E8">
            <w:pPr>
              <w:jc w:val="center"/>
              <w:rPr>
                <w:b/>
              </w:rPr>
            </w:pPr>
            <w:r w:rsidRPr="00FB54DF">
              <w:rPr>
                <w:b/>
              </w:rPr>
              <w:t>Probability</w:t>
            </w:r>
          </w:p>
          <w:p w:rsidR="009F35E9" w:rsidRPr="00FB54DF" w:rsidRDefault="009F35E9" w:rsidP="00A939E8">
            <w:pPr>
              <w:jc w:val="center"/>
              <w:rPr>
                <w:b/>
              </w:rPr>
            </w:pPr>
            <w:r w:rsidRPr="00FB54DF">
              <w:rPr>
                <w:b/>
              </w:rPr>
              <w:t>(Likeliness)</w:t>
            </w:r>
          </w:p>
          <w:p w:rsidR="009F35E9" w:rsidRPr="00FB54DF" w:rsidRDefault="009F35E9" w:rsidP="00A939E8">
            <w:pPr>
              <w:jc w:val="center"/>
              <w:rPr>
                <w:b/>
              </w:rPr>
            </w:pPr>
          </w:p>
        </w:tc>
        <w:tc>
          <w:tcPr>
            <w:tcW w:w="5975" w:type="dxa"/>
            <w:gridSpan w:val="5"/>
            <w:shd w:val="clear" w:color="auto" w:fill="FFFFFF" w:themeFill="background1"/>
          </w:tcPr>
          <w:p w:rsidR="009F35E9" w:rsidRPr="00FB54DF" w:rsidRDefault="009F35E9" w:rsidP="00A939E8">
            <w:pPr>
              <w:jc w:val="center"/>
              <w:rPr>
                <w:b/>
              </w:rPr>
            </w:pPr>
            <w:r w:rsidRPr="00FB54DF">
              <w:rPr>
                <w:b/>
              </w:rPr>
              <w:t>Risk Severity</w:t>
            </w:r>
          </w:p>
        </w:tc>
      </w:tr>
      <w:tr w:rsidR="009F35E9" w:rsidRPr="00FB54DF" w:rsidTr="00A939E8">
        <w:trPr>
          <w:trHeight w:val="374"/>
          <w:jc w:val="center"/>
        </w:trPr>
        <w:tc>
          <w:tcPr>
            <w:tcW w:w="1252" w:type="dxa"/>
            <w:vMerge/>
            <w:shd w:val="clear" w:color="auto" w:fill="FFFFFF" w:themeFill="background1"/>
          </w:tcPr>
          <w:p w:rsidR="009F35E9" w:rsidRPr="00FB54DF" w:rsidRDefault="009F35E9" w:rsidP="00A939E8">
            <w:pPr>
              <w:jc w:val="center"/>
              <w:rPr>
                <w:b/>
              </w:rPr>
            </w:pPr>
          </w:p>
        </w:tc>
        <w:tc>
          <w:tcPr>
            <w:tcW w:w="1345" w:type="dxa"/>
            <w:shd w:val="clear" w:color="auto" w:fill="FFFFFF" w:themeFill="background1"/>
          </w:tcPr>
          <w:p w:rsidR="009F35E9" w:rsidRPr="00FB54DF" w:rsidRDefault="009F35E9" w:rsidP="00A939E8">
            <w:pPr>
              <w:jc w:val="center"/>
              <w:rPr>
                <w:b/>
              </w:rPr>
            </w:pPr>
          </w:p>
          <w:p w:rsidR="009F35E9" w:rsidRPr="00FB54DF" w:rsidRDefault="009F35E9" w:rsidP="00A939E8">
            <w:pPr>
              <w:jc w:val="center"/>
              <w:rPr>
                <w:b/>
              </w:rPr>
            </w:pPr>
            <w:r w:rsidRPr="00FB54DF">
              <w:rPr>
                <w:b/>
              </w:rPr>
              <w:t>Catastrophic</w:t>
            </w:r>
          </w:p>
          <w:p w:rsidR="009F35E9" w:rsidRPr="00FB54DF" w:rsidRDefault="009F35E9" w:rsidP="00A939E8">
            <w:pPr>
              <w:jc w:val="center"/>
              <w:rPr>
                <w:b/>
              </w:rPr>
            </w:pPr>
            <w:r w:rsidRPr="00FB54DF">
              <w:rPr>
                <w:b/>
              </w:rPr>
              <w:t>A</w:t>
            </w:r>
          </w:p>
          <w:p w:rsidR="009F35E9" w:rsidRPr="00FB54DF" w:rsidRDefault="009F35E9" w:rsidP="00A939E8">
            <w:pPr>
              <w:jc w:val="center"/>
              <w:rPr>
                <w:b/>
              </w:rPr>
            </w:pPr>
          </w:p>
        </w:tc>
        <w:tc>
          <w:tcPr>
            <w:tcW w:w="1161" w:type="dxa"/>
            <w:shd w:val="clear" w:color="auto" w:fill="FFFFFF" w:themeFill="background1"/>
          </w:tcPr>
          <w:p w:rsidR="009F35E9" w:rsidRPr="00FB54DF" w:rsidRDefault="009F35E9" w:rsidP="00A939E8">
            <w:pPr>
              <w:jc w:val="center"/>
              <w:rPr>
                <w:b/>
              </w:rPr>
            </w:pPr>
          </w:p>
          <w:p w:rsidR="009F35E9" w:rsidRPr="00FB54DF" w:rsidRDefault="009F35E9" w:rsidP="00A939E8">
            <w:pPr>
              <w:jc w:val="center"/>
              <w:rPr>
                <w:b/>
              </w:rPr>
            </w:pPr>
            <w:r w:rsidRPr="00FB54DF">
              <w:rPr>
                <w:b/>
              </w:rPr>
              <w:t>Hazardous</w:t>
            </w:r>
          </w:p>
          <w:p w:rsidR="009F35E9" w:rsidRPr="00FB54DF" w:rsidRDefault="009F35E9" w:rsidP="00A939E8">
            <w:pPr>
              <w:jc w:val="center"/>
              <w:rPr>
                <w:b/>
              </w:rPr>
            </w:pPr>
            <w:r w:rsidRPr="00FB54DF">
              <w:rPr>
                <w:b/>
              </w:rPr>
              <w:t>B</w:t>
            </w:r>
          </w:p>
          <w:p w:rsidR="009F35E9" w:rsidRPr="00FB54DF" w:rsidRDefault="009F35E9" w:rsidP="00A939E8">
            <w:pPr>
              <w:jc w:val="center"/>
              <w:rPr>
                <w:b/>
              </w:rPr>
            </w:pPr>
          </w:p>
        </w:tc>
        <w:tc>
          <w:tcPr>
            <w:tcW w:w="1156" w:type="dxa"/>
            <w:shd w:val="clear" w:color="auto" w:fill="FFFFFF" w:themeFill="background1"/>
          </w:tcPr>
          <w:p w:rsidR="009F35E9" w:rsidRPr="00FB54DF" w:rsidRDefault="009F35E9" w:rsidP="00A939E8">
            <w:pPr>
              <w:jc w:val="center"/>
              <w:rPr>
                <w:b/>
              </w:rPr>
            </w:pPr>
          </w:p>
          <w:p w:rsidR="009F35E9" w:rsidRPr="00FB54DF" w:rsidRDefault="009F35E9" w:rsidP="00A939E8">
            <w:pPr>
              <w:jc w:val="center"/>
              <w:rPr>
                <w:b/>
              </w:rPr>
            </w:pPr>
            <w:r w:rsidRPr="00FB54DF">
              <w:rPr>
                <w:b/>
              </w:rPr>
              <w:t>Major</w:t>
            </w:r>
          </w:p>
          <w:p w:rsidR="009F35E9" w:rsidRPr="00FB54DF" w:rsidRDefault="009F35E9" w:rsidP="00A939E8">
            <w:pPr>
              <w:jc w:val="center"/>
              <w:rPr>
                <w:b/>
              </w:rPr>
            </w:pPr>
            <w:r w:rsidRPr="00FB54DF">
              <w:rPr>
                <w:b/>
              </w:rPr>
              <w:t>C</w:t>
            </w:r>
          </w:p>
          <w:p w:rsidR="009F35E9" w:rsidRPr="00FB54DF" w:rsidRDefault="009F35E9" w:rsidP="00A939E8">
            <w:pPr>
              <w:jc w:val="center"/>
              <w:rPr>
                <w:b/>
              </w:rPr>
            </w:pPr>
          </w:p>
        </w:tc>
        <w:tc>
          <w:tcPr>
            <w:tcW w:w="1156" w:type="dxa"/>
            <w:shd w:val="clear" w:color="auto" w:fill="FFFFFF" w:themeFill="background1"/>
          </w:tcPr>
          <w:p w:rsidR="009F35E9" w:rsidRPr="00FB54DF" w:rsidRDefault="009F35E9" w:rsidP="00A939E8">
            <w:pPr>
              <w:jc w:val="center"/>
              <w:rPr>
                <w:b/>
              </w:rPr>
            </w:pPr>
          </w:p>
          <w:p w:rsidR="009F35E9" w:rsidRPr="00FB54DF" w:rsidRDefault="009F35E9" w:rsidP="00A939E8">
            <w:pPr>
              <w:jc w:val="center"/>
              <w:rPr>
                <w:b/>
              </w:rPr>
            </w:pPr>
            <w:r w:rsidRPr="00FB54DF">
              <w:rPr>
                <w:b/>
              </w:rPr>
              <w:t>Minor</w:t>
            </w:r>
          </w:p>
          <w:p w:rsidR="009F35E9" w:rsidRPr="00FB54DF" w:rsidRDefault="009F35E9" w:rsidP="00A939E8">
            <w:pPr>
              <w:jc w:val="center"/>
              <w:rPr>
                <w:b/>
              </w:rPr>
            </w:pPr>
            <w:r w:rsidRPr="00FB54DF">
              <w:rPr>
                <w:b/>
              </w:rPr>
              <w:t>D</w:t>
            </w:r>
          </w:p>
          <w:p w:rsidR="009F35E9" w:rsidRPr="00FB54DF" w:rsidRDefault="009F35E9" w:rsidP="00A939E8">
            <w:pPr>
              <w:jc w:val="center"/>
              <w:rPr>
                <w:b/>
              </w:rPr>
            </w:pPr>
          </w:p>
        </w:tc>
        <w:tc>
          <w:tcPr>
            <w:tcW w:w="1157" w:type="dxa"/>
            <w:shd w:val="clear" w:color="auto" w:fill="FFFFFF" w:themeFill="background1"/>
          </w:tcPr>
          <w:p w:rsidR="009F35E9" w:rsidRPr="00FB54DF" w:rsidRDefault="009F35E9" w:rsidP="00A939E8">
            <w:pPr>
              <w:jc w:val="center"/>
              <w:rPr>
                <w:b/>
              </w:rPr>
            </w:pPr>
          </w:p>
          <w:p w:rsidR="009F35E9" w:rsidRPr="00FB54DF" w:rsidRDefault="009F35E9" w:rsidP="00A939E8">
            <w:pPr>
              <w:jc w:val="center"/>
              <w:rPr>
                <w:b/>
              </w:rPr>
            </w:pPr>
            <w:r w:rsidRPr="00FB54DF">
              <w:rPr>
                <w:b/>
              </w:rPr>
              <w:t>Negligible</w:t>
            </w:r>
          </w:p>
          <w:p w:rsidR="009F35E9" w:rsidRPr="00FB54DF" w:rsidRDefault="009F35E9" w:rsidP="00A939E8">
            <w:pPr>
              <w:jc w:val="center"/>
              <w:rPr>
                <w:b/>
              </w:rPr>
            </w:pPr>
            <w:r w:rsidRPr="00FB54DF">
              <w:rPr>
                <w:b/>
              </w:rPr>
              <w:t>E</w:t>
            </w:r>
          </w:p>
          <w:p w:rsidR="009F35E9" w:rsidRPr="00FB54DF" w:rsidRDefault="009F35E9" w:rsidP="00A939E8">
            <w:pPr>
              <w:jc w:val="center"/>
              <w:rPr>
                <w:b/>
              </w:rPr>
            </w:pPr>
          </w:p>
        </w:tc>
      </w:tr>
      <w:tr w:rsidR="009F35E9" w:rsidRPr="00FB54DF" w:rsidTr="00A939E8">
        <w:trPr>
          <w:trHeight w:val="880"/>
          <w:jc w:val="center"/>
        </w:trPr>
        <w:tc>
          <w:tcPr>
            <w:tcW w:w="1252" w:type="dxa"/>
            <w:shd w:val="clear" w:color="auto" w:fill="FFFFFF" w:themeFill="background1"/>
          </w:tcPr>
          <w:p w:rsidR="009F35E9" w:rsidRPr="00FB54DF" w:rsidRDefault="009F35E9" w:rsidP="00A939E8">
            <w:pPr>
              <w:jc w:val="center"/>
              <w:rPr>
                <w:b/>
              </w:rPr>
            </w:pPr>
            <w:r w:rsidRPr="00FB54DF">
              <w:rPr>
                <w:b/>
              </w:rPr>
              <w:t>Frequent        5</w:t>
            </w:r>
          </w:p>
          <w:p w:rsidR="009F35E9" w:rsidRPr="00FB54DF" w:rsidRDefault="009F35E9" w:rsidP="00A939E8">
            <w:pPr>
              <w:jc w:val="center"/>
              <w:rPr>
                <w:b/>
              </w:rPr>
            </w:pPr>
          </w:p>
        </w:tc>
        <w:tc>
          <w:tcPr>
            <w:tcW w:w="1345" w:type="dxa"/>
            <w:shd w:val="clear" w:color="auto" w:fill="FFFFFF" w:themeFill="background1"/>
          </w:tcPr>
          <w:p w:rsidR="009F35E9" w:rsidRPr="00FB54DF" w:rsidRDefault="009F35E9" w:rsidP="00A939E8">
            <w:pPr>
              <w:jc w:val="center"/>
              <w:rPr>
                <w:color w:val="FF0000"/>
              </w:rPr>
            </w:pPr>
          </w:p>
          <w:p w:rsidR="009F35E9" w:rsidRPr="00FB54DF" w:rsidRDefault="009F35E9" w:rsidP="00A939E8">
            <w:pPr>
              <w:jc w:val="center"/>
              <w:rPr>
                <w:color w:val="FF0000"/>
              </w:rPr>
            </w:pPr>
            <w:r w:rsidRPr="00FB54DF">
              <w:rPr>
                <w:color w:val="FF0000"/>
              </w:rPr>
              <w:t>5A</w:t>
            </w:r>
          </w:p>
          <w:p w:rsidR="009F35E9" w:rsidRPr="00FB54DF" w:rsidRDefault="009F35E9" w:rsidP="00A939E8">
            <w:pPr>
              <w:jc w:val="center"/>
              <w:rPr>
                <w:color w:val="FF0000"/>
              </w:rPr>
            </w:pPr>
          </w:p>
        </w:tc>
        <w:tc>
          <w:tcPr>
            <w:tcW w:w="1161" w:type="dxa"/>
            <w:shd w:val="clear" w:color="auto" w:fill="FFFFFF" w:themeFill="background1"/>
          </w:tcPr>
          <w:p w:rsidR="009F35E9" w:rsidRPr="00FB54DF" w:rsidRDefault="009F35E9" w:rsidP="00A939E8">
            <w:pPr>
              <w:jc w:val="center"/>
              <w:rPr>
                <w:color w:val="FF0000"/>
              </w:rPr>
            </w:pPr>
          </w:p>
          <w:p w:rsidR="009F35E9" w:rsidRPr="00FB54DF" w:rsidRDefault="009F35E9" w:rsidP="00A939E8">
            <w:pPr>
              <w:jc w:val="center"/>
              <w:rPr>
                <w:color w:val="FF0000"/>
              </w:rPr>
            </w:pPr>
            <w:r w:rsidRPr="00FB54DF">
              <w:rPr>
                <w:color w:val="FF0000"/>
              </w:rPr>
              <w:t>5B</w:t>
            </w:r>
          </w:p>
          <w:p w:rsidR="009F35E9" w:rsidRPr="00FB54DF" w:rsidRDefault="009F35E9" w:rsidP="00A939E8">
            <w:pPr>
              <w:jc w:val="center"/>
              <w:rPr>
                <w:color w:val="FF0000"/>
              </w:rPr>
            </w:pPr>
          </w:p>
        </w:tc>
        <w:tc>
          <w:tcPr>
            <w:tcW w:w="1156" w:type="dxa"/>
            <w:shd w:val="clear" w:color="auto" w:fill="FFFFFF" w:themeFill="background1"/>
          </w:tcPr>
          <w:p w:rsidR="009F35E9" w:rsidRPr="00FB54DF" w:rsidRDefault="009F35E9" w:rsidP="00A939E8">
            <w:pPr>
              <w:jc w:val="center"/>
              <w:rPr>
                <w:color w:val="FF0000"/>
              </w:rPr>
            </w:pPr>
          </w:p>
          <w:p w:rsidR="009F35E9" w:rsidRPr="00FB54DF" w:rsidRDefault="009F35E9" w:rsidP="00A939E8">
            <w:pPr>
              <w:jc w:val="center"/>
              <w:rPr>
                <w:color w:val="FF0000"/>
              </w:rPr>
            </w:pPr>
            <w:r w:rsidRPr="00FB54DF">
              <w:rPr>
                <w:color w:val="FF0000"/>
              </w:rPr>
              <w:t>5C</w:t>
            </w:r>
          </w:p>
          <w:p w:rsidR="009F35E9" w:rsidRPr="00FB54DF" w:rsidRDefault="009F35E9" w:rsidP="00A939E8">
            <w:pPr>
              <w:jc w:val="center"/>
              <w:rPr>
                <w:color w:val="FF0000"/>
              </w:rP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5D</w:t>
            </w:r>
          </w:p>
          <w:p w:rsidR="009F35E9" w:rsidRPr="00FB54DF" w:rsidRDefault="009F35E9" w:rsidP="00A939E8">
            <w:pPr>
              <w:jc w:val="center"/>
              <w:rPr>
                <w:color w:val="FFC000"/>
              </w:rPr>
            </w:pPr>
          </w:p>
        </w:tc>
        <w:tc>
          <w:tcPr>
            <w:tcW w:w="1157"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5E</w:t>
            </w:r>
          </w:p>
          <w:p w:rsidR="009F35E9" w:rsidRPr="00FB54DF" w:rsidRDefault="009F35E9" w:rsidP="00A939E8">
            <w:pPr>
              <w:jc w:val="center"/>
              <w:rPr>
                <w:color w:val="FFC000"/>
              </w:rPr>
            </w:pPr>
          </w:p>
        </w:tc>
      </w:tr>
      <w:tr w:rsidR="009F35E9" w:rsidRPr="00FB54DF" w:rsidTr="00A939E8">
        <w:trPr>
          <w:trHeight w:val="880"/>
          <w:jc w:val="center"/>
        </w:trPr>
        <w:tc>
          <w:tcPr>
            <w:tcW w:w="1252" w:type="dxa"/>
            <w:shd w:val="clear" w:color="auto" w:fill="FFFFFF" w:themeFill="background1"/>
          </w:tcPr>
          <w:p w:rsidR="009F35E9" w:rsidRPr="00FB54DF" w:rsidRDefault="009F35E9" w:rsidP="00A939E8">
            <w:pPr>
              <w:jc w:val="center"/>
              <w:rPr>
                <w:b/>
              </w:rPr>
            </w:pPr>
            <w:r w:rsidRPr="00FB54DF">
              <w:rPr>
                <w:b/>
              </w:rPr>
              <w:t>Occasional     4</w:t>
            </w:r>
          </w:p>
          <w:p w:rsidR="009F35E9" w:rsidRPr="00FB54DF" w:rsidRDefault="009F35E9" w:rsidP="00A939E8">
            <w:pPr>
              <w:jc w:val="center"/>
              <w:rPr>
                <w:b/>
              </w:rPr>
            </w:pPr>
          </w:p>
        </w:tc>
        <w:tc>
          <w:tcPr>
            <w:tcW w:w="1345" w:type="dxa"/>
            <w:shd w:val="clear" w:color="auto" w:fill="FFFFFF" w:themeFill="background1"/>
          </w:tcPr>
          <w:p w:rsidR="009F35E9" w:rsidRPr="00FB54DF" w:rsidRDefault="009F35E9" w:rsidP="00A939E8">
            <w:pPr>
              <w:jc w:val="center"/>
              <w:rPr>
                <w:color w:val="FF0000"/>
              </w:rPr>
            </w:pPr>
          </w:p>
          <w:p w:rsidR="009F35E9" w:rsidRPr="00FB54DF" w:rsidRDefault="009F35E9" w:rsidP="00A939E8">
            <w:pPr>
              <w:jc w:val="center"/>
              <w:rPr>
                <w:color w:val="FF0000"/>
              </w:rPr>
            </w:pPr>
            <w:r w:rsidRPr="00FB54DF">
              <w:rPr>
                <w:color w:val="FF0000"/>
              </w:rPr>
              <w:t>4A</w:t>
            </w:r>
          </w:p>
          <w:p w:rsidR="009F35E9" w:rsidRPr="00FB54DF" w:rsidRDefault="009F35E9" w:rsidP="00A939E8">
            <w:pPr>
              <w:jc w:val="center"/>
              <w:rPr>
                <w:color w:val="FF0000"/>
              </w:rPr>
            </w:pPr>
          </w:p>
        </w:tc>
        <w:tc>
          <w:tcPr>
            <w:tcW w:w="1161" w:type="dxa"/>
            <w:shd w:val="clear" w:color="auto" w:fill="FFFFFF" w:themeFill="background1"/>
          </w:tcPr>
          <w:p w:rsidR="009F35E9" w:rsidRPr="00FB54DF" w:rsidRDefault="009F35E9" w:rsidP="00A939E8">
            <w:pPr>
              <w:jc w:val="center"/>
            </w:pPr>
          </w:p>
          <w:p w:rsidR="009F35E9" w:rsidRPr="00FB54DF" w:rsidRDefault="009F35E9" w:rsidP="00A939E8">
            <w:pPr>
              <w:jc w:val="center"/>
              <w:rPr>
                <w:color w:val="FF0000"/>
              </w:rPr>
            </w:pPr>
            <w:r w:rsidRPr="00FB54DF">
              <w:rPr>
                <w:color w:val="FF0000"/>
              </w:rPr>
              <w:t>4B</w:t>
            </w:r>
          </w:p>
          <w:p w:rsidR="009F35E9" w:rsidRPr="00FB54DF" w:rsidRDefault="009F35E9" w:rsidP="00A939E8">
            <w:pPr>
              <w:jc w:val="cente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4C</w:t>
            </w:r>
          </w:p>
          <w:p w:rsidR="009F35E9" w:rsidRPr="00FB54DF" w:rsidRDefault="009F35E9" w:rsidP="00A939E8">
            <w:pPr>
              <w:jc w:val="center"/>
              <w:rPr>
                <w:color w:val="FFC000"/>
              </w:rP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4D</w:t>
            </w:r>
          </w:p>
          <w:p w:rsidR="009F35E9" w:rsidRPr="00FB54DF" w:rsidRDefault="009F35E9" w:rsidP="00A939E8">
            <w:pPr>
              <w:jc w:val="center"/>
              <w:rPr>
                <w:color w:val="FFC000"/>
              </w:rPr>
            </w:pPr>
          </w:p>
        </w:tc>
        <w:tc>
          <w:tcPr>
            <w:tcW w:w="1157"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4E</w:t>
            </w:r>
          </w:p>
          <w:p w:rsidR="009F35E9" w:rsidRPr="00FB54DF" w:rsidRDefault="009F35E9" w:rsidP="00A939E8">
            <w:pPr>
              <w:jc w:val="center"/>
              <w:rPr>
                <w:color w:val="FFC000"/>
              </w:rPr>
            </w:pPr>
          </w:p>
        </w:tc>
      </w:tr>
      <w:tr w:rsidR="009F35E9" w:rsidRPr="00FB54DF" w:rsidTr="00A939E8">
        <w:trPr>
          <w:trHeight w:val="880"/>
          <w:jc w:val="center"/>
        </w:trPr>
        <w:tc>
          <w:tcPr>
            <w:tcW w:w="1252" w:type="dxa"/>
            <w:shd w:val="clear" w:color="auto" w:fill="FFFFFF" w:themeFill="background1"/>
          </w:tcPr>
          <w:p w:rsidR="009F35E9" w:rsidRPr="00FB54DF" w:rsidRDefault="009F35E9" w:rsidP="00A939E8">
            <w:pPr>
              <w:jc w:val="center"/>
              <w:rPr>
                <w:b/>
              </w:rPr>
            </w:pPr>
            <w:r w:rsidRPr="00FB54DF">
              <w:rPr>
                <w:b/>
              </w:rPr>
              <w:t>Remote         3</w:t>
            </w:r>
          </w:p>
          <w:p w:rsidR="009F35E9" w:rsidRPr="00FB54DF" w:rsidRDefault="009F35E9" w:rsidP="00A939E8">
            <w:pPr>
              <w:jc w:val="center"/>
              <w:rPr>
                <w:b/>
              </w:rPr>
            </w:pPr>
          </w:p>
        </w:tc>
        <w:tc>
          <w:tcPr>
            <w:tcW w:w="1345" w:type="dxa"/>
            <w:shd w:val="clear" w:color="auto" w:fill="FFFFFF" w:themeFill="background1"/>
          </w:tcPr>
          <w:p w:rsidR="009F35E9" w:rsidRPr="00FB54DF" w:rsidRDefault="009F35E9" w:rsidP="00A939E8">
            <w:pPr>
              <w:jc w:val="center"/>
              <w:rPr>
                <w:color w:val="FF0000"/>
              </w:rPr>
            </w:pPr>
          </w:p>
          <w:p w:rsidR="009F35E9" w:rsidRPr="00FB54DF" w:rsidRDefault="009F35E9" w:rsidP="00A939E8">
            <w:pPr>
              <w:jc w:val="center"/>
              <w:rPr>
                <w:color w:val="FF0000"/>
              </w:rPr>
            </w:pPr>
            <w:r w:rsidRPr="00FB54DF">
              <w:rPr>
                <w:color w:val="FF0000"/>
              </w:rPr>
              <w:t>3A</w:t>
            </w:r>
          </w:p>
          <w:p w:rsidR="009F35E9" w:rsidRPr="00FB54DF" w:rsidRDefault="009F35E9" w:rsidP="00A939E8">
            <w:pPr>
              <w:jc w:val="center"/>
              <w:rPr>
                <w:color w:val="FF0000"/>
              </w:rPr>
            </w:pPr>
          </w:p>
        </w:tc>
        <w:tc>
          <w:tcPr>
            <w:tcW w:w="1161"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3B</w:t>
            </w:r>
          </w:p>
          <w:p w:rsidR="009F35E9" w:rsidRPr="00FB54DF" w:rsidRDefault="009F35E9" w:rsidP="00A939E8">
            <w:pPr>
              <w:jc w:val="center"/>
              <w:rPr>
                <w:color w:val="FFC000"/>
              </w:rP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3C</w:t>
            </w:r>
          </w:p>
          <w:p w:rsidR="009F35E9" w:rsidRPr="00FB54DF" w:rsidRDefault="009F35E9" w:rsidP="00A939E8">
            <w:pPr>
              <w:jc w:val="center"/>
              <w:rPr>
                <w:color w:val="FFC000"/>
              </w:rP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3D</w:t>
            </w:r>
          </w:p>
          <w:p w:rsidR="009F35E9" w:rsidRPr="00FB54DF" w:rsidRDefault="009F35E9" w:rsidP="00A939E8">
            <w:pPr>
              <w:jc w:val="center"/>
              <w:rPr>
                <w:color w:val="FFC000"/>
              </w:rPr>
            </w:pPr>
          </w:p>
        </w:tc>
        <w:tc>
          <w:tcPr>
            <w:tcW w:w="1157"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3E</w:t>
            </w:r>
          </w:p>
          <w:p w:rsidR="009F35E9" w:rsidRPr="00FB54DF" w:rsidRDefault="009F35E9" w:rsidP="00A939E8">
            <w:pPr>
              <w:jc w:val="center"/>
              <w:rPr>
                <w:color w:val="00B050"/>
              </w:rPr>
            </w:pPr>
          </w:p>
        </w:tc>
      </w:tr>
      <w:tr w:rsidR="009F35E9" w:rsidRPr="00FB54DF" w:rsidTr="00A939E8">
        <w:trPr>
          <w:trHeight w:val="880"/>
          <w:jc w:val="center"/>
        </w:trPr>
        <w:tc>
          <w:tcPr>
            <w:tcW w:w="1252" w:type="dxa"/>
            <w:shd w:val="clear" w:color="auto" w:fill="FFFFFF" w:themeFill="background1"/>
          </w:tcPr>
          <w:p w:rsidR="009F35E9" w:rsidRPr="00FB54DF" w:rsidRDefault="009F35E9" w:rsidP="00A939E8">
            <w:pPr>
              <w:jc w:val="center"/>
              <w:rPr>
                <w:b/>
              </w:rPr>
            </w:pPr>
            <w:r w:rsidRPr="00FB54DF">
              <w:rPr>
                <w:b/>
              </w:rPr>
              <w:t>Improbable    2</w:t>
            </w:r>
          </w:p>
          <w:p w:rsidR="009F35E9" w:rsidRPr="00FB54DF" w:rsidRDefault="009F35E9" w:rsidP="00A939E8">
            <w:pPr>
              <w:jc w:val="center"/>
              <w:rPr>
                <w:b/>
              </w:rPr>
            </w:pPr>
          </w:p>
        </w:tc>
        <w:tc>
          <w:tcPr>
            <w:tcW w:w="1345" w:type="dxa"/>
            <w:shd w:val="clear" w:color="auto" w:fill="FFFFFF" w:themeFill="background1"/>
          </w:tcPr>
          <w:p w:rsidR="009F35E9" w:rsidRPr="00FB54DF" w:rsidRDefault="009F35E9" w:rsidP="00A939E8">
            <w:pPr>
              <w:jc w:val="center"/>
            </w:pPr>
          </w:p>
          <w:p w:rsidR="009F35E9" w:rsidRPr="00FB54DF" w:rsidRDefault="009F35E9" w:rsidP="00A939E8">
            <w:pPr>
              <w:jc w:val="center"/>
              <w:rPr>
                <w:color w:val="FFC000"/>
              </w:rPr>
            </w:pPr>
            <w:r w:rsidRPr="00FB54DF">
              <w:rPr>
                <w:color w:val="FFC000"/>
              </w:rPr>
              <w:t>2A</w:t>
            </w:r>
          </w:p>
          <w:p w:rsidR="009F35E9" w:rsidRPr="00FB54DF" w:rsidRDefault="009F35E9" w:rsidP="00A939E8">
            <w:pPr>
              <w:jc w:val="center"/>
            </w:pPr>
          </w:p>
        </w:tc>
        <w:tc>
          <w:tcPr>
            <w:tcW w:w="1161"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2B</w:t>
            </w:r>
          </w:p>
          <w:p w:rsidR="009F35E9" w:rsidRPr="00FB54DF" w:rsidRDefault="009F35E9" w:rsidP="00A939E8">
            <w:pPr>
              <w:jc w:val="center"/>
              <w:rPr>
                <w:color w:val="FFC000"/>
              </w:rPr>
            </w:pPr>
          </w:p>
        </w:tc>
        <w:tc>
          <w:tcPr>
            <w:tcW w:w="1156" w:type="dxa"/>
            <w:shd w:val="clear" w:color="auto" w:fill="FFFFFF" w:themeFill="background1"/>
          </w:tcPr>
          <w:p w:rsidR="009F35E9" w:rsidRPr="00FB54DF" w:rsidRDefault="009F35E9" w:rsidP="00A939E8">
            <w:pPr>
              <w:jc w:val="center"/>
              <w:rPr>
                <w:color w:val="FFC000"/>
              </w:rPr>
            </w:pPr>
          </w:p>
          <w:p w:rsidR="009F35E9" w:rsidRPr="00FB54DF" w:rsidRDefault="009F35E9" w:rsidP="00A939E8">
            <w:pPr>
              <w:jc w:val="center"/>
              <w:rPr>
                <w:color w:val="FFC000"/>
              </w:rPr>
            </w:pPr>
            <w:r w:rsidRPr="00FB54DF">
              <w:rPr>
                <w:color w:val="FFC000"/>
              </w:rPr>
              <w:t>2C</w:t>
            </w:r>
          </w:p>
          <w:p w:rsidR="009F35E9" w:rsidRPr="00FB54DF" w:rsidRDefault="009F35E9" w:rsidP="00A939E8">
            <w:pPr>
              <w:jc w:val="center"/>
              <w:rPr>
                <w:color w:val="FFC000"/>
              </w:rPr>
            </w:pPr>
          </w:p>
        </w:tc>
        <w:tc>
          <w:tcPr>
            <w:tcW w:w="1156" w:type="dxa"/>
            <w:shd w:val="clear" w:color="auto" w:fill="FFFFFF" w:themeFill="background1"/>
          </w:tcPr>
          <w:p w:rsidR="009F35E9" w:rsidRPr="00FB54DF" w:rsidRDefault="009F35E9" w:rsidP="00A939E8">
            <w:pPr>
              <w:jc w:val="center"/>
            </w:pPr>
          </w:p>
          <w:p w:rsidR="009F35E9" w:rsidRPr="00FB54DF" w:rsidRDefault="009F35E9" w:rsidP="00A939E8">
            <w:pPr>
              <w:jc w:val="center"/>
              <w:rPr>
                <w:color w:val="00B050"/>
              </w:rPr>
            </w:pPr>
            <w:r w:rsidRPr="00FB54DF">
              <w:rPr>
                <w:color w:val="00B050"/>
              </w:rPr>
              <w:t>2D</w:t>
            </w:r>
          </w:p>
          <w:p w:rsidR="009F35E9" w:rsidRPr="00FB54DF" w:rsidRDefault="009F35E9" w:rsidP="00A939E8">
            <w:pPr>
              <w:jc w:val="center"/>
            </w:pPr>
          </w:p>
        </w:tc>
        <w:tc>
          <w:tcPr>
            <w:tcW w:w="1157"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2E</w:t>
            </w:r>
          </w:p>
          <w:p w:rsidR="009F35E9" w:rsidRPr="00FB54DF" w:rsidRDefault="009F35E9" w:rsidP="00A939E8">
            <w:pPr>
              <w:jc w:val="center"/>
              <w:rPr>
                <w:color w:val="00B050"/>
              </w:rPr>
            </w:pPr>
          </w:p>
        </w:tc>
      </w:tr>
      <w:tr w:rsidR="009F35E9" w:rsidRPr="00FB54DF" w:rsidTr="00A939E8">
        <w:trPr>
          <w:trHeight w:val="1033"/>
          <w:jc w:val="center"/>
        </w:trPr>
        <w:tc>
          <w:tcPr>
            <w:tcW w:w="1252" w:type="dxa"/>
            <w:shd w:val="clear" w:color="auto" w:fill="FFFFFF" w:themeFill="background1"/>
          </w:tcPr>
          <w:p w:rsidR="009F35E9" w:rsidRPr="00FB54DF" w:rsidRDefault="009F35E9" w:rsidP="00A939E8">
            <w:pPr>
              <w:jc w:val="center"/>
              <w:rPr>
                <w:b/>
              </w:rPr>
            </w:pPr>
            <w:r w:rsidRPr="00FB54DF">
              <w:rPr>
                <w:b/>
              </w:rPr>
              <w:t>Extremely</w:t>
            </w:r>
          </w:p>
          <w:p w:rsidR="009F35E9" w:rsidRPr="00FB54DF" w:rsidRDefault="009F35E9" w:rsidP="00A939E8">
            <w:pPr>
              <w:jc w:val="center"/>
              <w:rPr>
                <w:b/>
              </w:rPr>
            </w:pPr>
            <w:r w:rsidRPr="00FB54DF">
              <w:rPr>
                <w:b/>
              </w:rPr>
              <w:t>Improbable    1</w:t>
            </w:r>
          </w:p>
        </w:tc>
        <w:tc>
          <w:tcPr>
            <w:tcW w:w="1345"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1A</w:t>
            </w:r>
          </w:p>
          <w:p w:rsidR="009F35E9" w:rsidRPr="00FB54DF" w:rsidRDefault="009F35E9" w:rsidP="00A939E8">
            <w:pPr>
              <w:jc w:val="center"/>
              <w:rPr>
                <w:color w:val="00B050"/>
              </w:rPr>
            </w:pPr>
          </w:p>
        </w:tc>
        <w:tc>
          <w:tcPr>
            <w:tcW w:w="1161"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1B</w:t>
            </w:r>
          </w:p>
          <w:p w:rsidR="009F35E9" w:rsidRPr="00FB54DF" w:rsidRDefault="009F35E9" w:rsidP="00A939E8">
            <w:pPr>
              <w:jc w:val="center"/>
              <w:rPr>
                <w:color w:val="00B050"/>
              </w:rPr>
            </w:pPr>
          </w:p>
        </w:tc>
        <w:tc>
          <w:tcPr>
            <w:tcW w:w="1156"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1C</w:t>
            </w:r>
          </w:p>
          <w:p w:rsidR="009F35E9" w:rsidRPr="00FB54DF" w:rsidRDefault="009F35E9" w:rsidP="00A939E8">
            <w:pPr>
              <w:jc w:val="center"/>
              <w:rPr>
                <w:color w:val="00B050"/>
              </w:rPr>
            </w:pPr>
          </w:p>
        </w:tc>
        <w:tc>
          <w:tcPr>
            <w:tcW w:w="1156"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1D</w:t>
            </w:r>
          </w:p>
          <w:p w:rsidR="009F35E9" w:rsidRPr="00FB54DF" w:rsidRDefault="009F35E9" w:rsidP="00A939E8">
            <w:pPr>
              <w:jc w:val="center"/>
              <w:rPr>
                <w:color w:val="00B050"/>
              </w:rPr>
            </w:pPr>
          </w:p>
        </w:tc>
        <w:tc>
          <w:tcPr>
            <w:tcW w:w="1157" w:type="dxa"/>
            <w:shd w:val="clear" w:color="auto" w:fill="FFFFFF" w:themeFill="background1"/>
          </w:tcPr>
          <w:p w:rsidR="009F35E9" w:rsidRPr="00FB54DF" w:rsidRDefault="009F35E9" w:rsidP="00A939E8">
            <w:pPr>
              <w:jc w:val="center"/>
              <w:rPr>
                <w:color w:val="00B050"/>
              </w:rPr>
            </w:pPr>
          </w:p>
          <w:p w:rsidR="009F35E9" w:rsidRPr="00FB54DF" w:rsidRDefault="009F35E9" w:rsidP="00A939E8">
            <w:pPr>
              <w:jc w:val="center"/>
              <w:rPr>
                <w:color w:val="00B050"/>
              </w:rPr>
            </w:pPr>
            <w:r w:rsidRPr="00FB54DF">
              <w:rPr>
                <w:color w:val="00B050"/>
              </w:rPr>
              <w:t>1E</w:t>
            </w:r>
          </w:p>
          <w:p w:rsidR="009F35E9" w:rsidRPr="00FB54DF" w:rsidRDefault="009F35E9" w:rsidP="00A939E8">
            <w:pPr>
              <w:jc w:val="center"/>
              <w:rPr>
                <w:color w:val="00B050"/>
              </w:rPr>
            </w:pPr>
          </w:p>
        </w:tc>
      </w:tr>
    </w:tbl>
    <w:p w:rsidR="009F35E9" w:rsidRDefault="009F35E9" w:rsidP="009F35E9">
      <w:pPr>
        <w:rPr>
          <w:lang w:val="en-US"/>
        </w:rPr>
      </w:pPr>
    </w:p>
    <w:p w:rsidR="009F35E9" w:rsidRDefault="009F35E9" w:rsidP="009F35E9">
      <w:pPr>
        <w:rPr>
          <w:lang w:val="en-US"/>
        </w:rPr>
      </w:pPr>
      <w:r w:rsidRPr="00392189">
        <w:rPr>
          <w:lang w:val="en-US"/>
        </w:rPr>
        <w:t>Green figures require no mitigation</w:t>
      </w:r>
      <w:r>
        <w:rPr>
          <w:lang w:val="en-US"/>
        </w:rPr>
        <w:t xml:space="preserve">. </w:t>
      </w:r>
      <w:r w:rsidRPr="00392189">
        <w:rPr>
          <w:lang w:val="en-US"/>
        </w:rPr>
        <w:t>Yellow require</w:t>
      </w:r>
      <w:r>
        <w:rPr>
          <w:lang w:val="en-US"/>
        </w:rPr>
        <w:t>s</w:t>
      </w:r>
      <w:r w:rsidRPr="00392189">
        <w:rPr>
          <w:lang w:val="en-US"/>
        </w:rPr>
        <w:t xml:space="preserve"> mitigation according to the severity of the threat.</w:t>
      </w:r>
      <w:r>
        <w:rPr>
          <w:lang w:val="en-US"/>
        </w:rPr>
        <w:t xml:space="preserve"> Red requires immediate mitigation.</w:t>
      </w:r>
    </w:p>
    <w:p w:rsidR="009F35E9" w:rsidRPr="00322D12" w:rsidRDefault="009F35E9" w:rsidP="009F35E9">
      <w:pPr>
        <w:rPr>
          <w:lang w:val="en-US"/>
        </w:rPr>
      </w:pPr>
      <w:r w:rsidRPr="00322D12">
        <w:rPr>
          <w:lang w:val="en-US"/>
        </w:rPr>
        <w:t xml:space="preserve">Mitigation is achieved by either avoidance (if the risk is too high), reduction (either risk is reduced or severity of consequences is reduced through a mitigating action) or segregation of exposure (action is taken to isolate the consequence or establish multiple layers of </w:t>
      </w:r>
      <w:proofErr w:type="spellStart"/>
      <w:r w:rsidRPr="00322D12">
        <w:rPr>
          <w:lang w:val="en-US"/>
        </w:rPr>
        <w:t>defence</w:t>
      </w:r>
      <w:proofErr w:type="spellEnd"/>
      <w:r w:rsidRPr="00322D12">
        <w:rPr>
          <w:lang w:val="en-US"/>
        </w:rPr>
        <w:t>).</w:t>
      </w:r>
    </w:p>
    <w:p w:rsidR="009F35E9" w:rsidRPr="002102DE" w:rsidRDefault="009F35E9" w:rsidP="009F35E9">
      <w:pPr>
        <w:rPr>
          <w:lang w:val="en-US"/>
        </w:rPr>
      </w:pPr>
      <w:r w:rsidRPr="002102DE">
        <w:rPr>
          <w:lang w:val="en-US"/>
        </w:rPr>
        <w:t>When looking at mitigation, consideration will be given to the following factors:</w:t>
      </w:r>
    </w:p>
    <w:p w:rsidR="009F35E9" w:rsidRPr="002102DE" w:rsidRDefault="009F35E9" w:rsidP="009F35E9">
      <w:pPr>
        <w:pStyle w:val="ListParagraph"/>
        <w:numPr>
          <w:ilvl w:val="0"/>
          <w:numId w:val="5"/>
        </w:numPr>
      </w:pPr>
      <w:r w:rsidRPr="002102DE">
        <w:t>Effectiveness;</w:t>
      </w:r>
    </w:p>
    <w:p w:rsidR="009F35E9" w:rsidRPr="002102DE" w:rsidRDefault="009F35E9" w:rsidP="009F35E9">
      <w:pPr>
        <w:pStyle w:val="ListParagraph"/>
        <w:numPr>
          <w:ilvl w:val="0"/>
          <w:numId w:val="5"/>
        </w:numPr>
      </w:pPr>
      <w:r w:rsidRPr="002102DE">
        <w:t>Cost/benefit;</w:t>
      </w:r>
    </w:p>
    <w:p w:rsidR="009F35E9" w:rsidRPr="002102DE" w:rsidRDefault="009F35E9" w:rsidP="009F35E9">
      <w:pPr>
        <w:pStyle w:val="ListParagraph"/>
        <w:numPr>
          <w:ilvl w:val="0"/>
          <w:numId w:val="5"/>
        </w:numPr>
      </w:pPr>
      <w:r w:rsidRPr="002102DE">
        <w:t>Practicality;</w:t>
      </w:r>
    </w:p>
    <w:p w:rsidR="009F35E9" w:rsidRPr="002102DE" w:rsidRDefault="009F35E9" w:rsidP="009F35E9">
      <w:pPr>
        <w:pStyle w:val="ListParagraph"/>
        <w:numPr>
          <w:ilvl w:val="0"/>
          <w:numId w:val="5"/>
        </w:numPr>
      </w:pPr>
      <w:r w:rsidRPr="002102DE">
        <w:lastRenderedPageBreak/>
        <w:t>Acceptability;</w:t>
      </w:r>
    </w:p>
    <w:p w:rsidR="009F35E9" w:rsidRPr="002102DE" w:rsidRDefault="009F35E9" w:rsidP="009F35E9">
      <w:pPr>
        <w:pStyle w:val="ListParagraph"/>
        <w:numPr>
          <w:ilvl w:val="0"/>
          <w:numId w:val="5"/>
        </w:numPr>
      </w:pPr>
      <w:r w:rsidRPr="002102DE">
        <w:t>Enforceability;</w:t>
      </w:r>
    </w:p>
    <w:p w:rsidR="009F35E9" w:rsidRPr="002102DE" w:rsidRDefault="009F35E9" w:rsidP="009F35E9">
      <w:pPr>
        <w:pStyle w:val="ListParagraph"/>
        <w:numPr>
          <w:ilvl w:val="0"/>
          <w:numId w:val="5"/>
        </w:numPr>
      </w:pPr>
      <w:r w:rsidRPr="002102DE">
        <w:t>Durability; and</w:t>
      </w:r>
    </w:p>
    <w:p w:rsidR="009F35E9" w:rsidRPr="002102DE" w:rsidRDefault="009F35E9" w:rsidP="009F35E9">
      <w:pPr>
        <w:pStyle w:val="ListParagraph"/>
        <w:numPr>
          <w:ilvl w:val="0"/>
          <w:numId w:val="5"/>
        </w:numPr>
      </w:pPr>
      <w:r w:rsidRPr="002102DE">
        <w:t>Unintended consequences.</w:t>
      </w:r>
    </w:p>
    <w:p w:rsidR="009F35E9" w:rsidRDefault="009F35E9" w:rsidP="009F35E9">
      <w:pPr>
        <w:rPr>
          <w:lang w:val="en-US"/>
        </w:rPr>
      </w:pPr>
      <w:r>
        <w:rPr>
          <w:lang w:val="en-US"/>
        </w:rPr>
        <w:t>The Safety Manager must report the result of the risk assessment and mitigation measures back to the submitter of the Safety Report Form and decide if and when further follow up will take place.</w:t>
      </w:r>
    </w:p>
    <w:p w:rsidR="009F35E9" w:rsidRPr="00680778" w:rsidRDefault="009F35E9">
      <w:pPr>
        <w:rPr>
          <w:lang w:val="en-US"/>
        </w:rPr>
      </w:pPr>
    </w:p>
    <w:sectPr w:rsidR="009F35E9" w:rsidRPr="0068077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ADE"/>
    <w:multiLevelType w:val="hybridMultilevel"/>
    <w:tmpl w:val="1416E9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3123520B"/>
    <w:multiLevelType w:val="hybridMultilevel"/>
    <w:tmpl w:val="5E80BC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4E002EA6"/>
    <w:multiLevelType w:val="hybridMultilevel"/>
    <w:tmpl w:val="891A1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1114F1C"/>
    <w:multiLevelType w:val="hybridMultilevel"/>
    <w:tmpl w:val="7986A8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564136EA"/>
    <w:multiLevelType w:val="hybridMultilevel"/>
    <w:tmpl w:val="DCCE63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728"/>
    <w:rsid w:val="004B405C"/>
    <w:rsid w:val="00680778"/>
    <w:rsid w:val="009F35E9"/>
    <w:rsid w:val="00A24728"/>
    <w:rsid w:val="00DE3F77"/>
    <w:rsid w:val="00E54E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78"/>
  </w:style>
  <w:style w:type="paragraph" w:styleId="Heading2">
    <w:name w:val="heading 2"/>
    <w:basedOn w:val="Normal"/>
    <w:next w:val="Normal"/>
    <w:link w:val="Heading2Char"/>
    <w:uiPriority w:val="9"/>
    <w:unhideWhenUsed/>
    <w:qFormat/>
    <w:rsid w:val="009F35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F35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F35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78"/>
  </w:style>
  <w:style w:type="paragraph" w:styleId="Heading2">
    <w:name w:val="heading 2"/>
    <w:basedOn w:val="Normal"/>
    <w:next w:val="Normal"/>
    <w:link w:val="Heading2Char"/>
    <w:uiPriority w:val="9"/>
    <w:unhideWhenUsed/>
    <w:qFormat/>
    <w:rsid w:val="009F35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F35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F35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336</Words>
  <Characters>2053</Characters>
  <Application>Microsoft Office Word</Application>
  <DocSecurity>0</DocSecurity>
  <Lines>17</Lines>
  <Paragraphs>4</Paragraphs>
  <ScaleCrop>false</ScaleCrop>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2016-08-17T03:31:00Z</dcterms:created>
  <dcterms:modified xsi:type="dcterms:W3CDTF">2016-08-17T03:35:00Z</dcterms:modified>
</cp:coreProperties>
</file>